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2D441">
      <w:pPr>
        <w:bidi w:val="0"/>
        <w:jc w:val="center"/>
        <w:rPr>
          <w:rFonts w:hint="eastAsia" w:ascii="方正公文小标宋" w:hAnsi="方正公文小标宋" w:eastAsia="方正公文小标宋" w:cs="方正公文小标宋"/>
          <w:b/>
          <w:bCs/>
          <w:color w:val="4B4B4B"/>
          <w:sz w:val="44"/>
          <w:szCs w:val="44"/>
        </w:rPr>
      </w:pPr>
      <w:r>
        <w:rPr>
          <w:rFonts w:hint="eastAsia" w:ascii="方正公文小标宋" w:hAnsi="方正公文小标宋" w:eastAsia="方正公文小标宋" w:cs="方正公文小标宋"/>
          <w:b/>
          <w:bCs/>
          <w:i w:val="0"/>
          <w:iCs w:val="0"/>
          <w:caps w:val="0"/>
          <w:color w:val="4B4B4B"/>
          <w:spacing w:val="0"/>
          <w:sz w:val="44"/>
          <w:szCs w:val="44"/>
          <w:u w:val="none"/>
          <w:bdr w:val="none" w:color="auto" w:sz="0" w:space="0"/>
        </w:rPr>
        <w:t>教育部办公厅关于实施一流本科专业建设</w:t>
      </w:r>
      <w:r>
        <w:rPr>
          <w:rFonts w:hint="eastAsia" w:ascii="方正公文小标宋" w:hAnsi="方正公文小标宋" w:eastAsia="方正公文小标宋" w:cs="方正公文小标宋"/>
          <w:b/>
          <w:bCs/>
          <w:i w:val="0"/>
          <w:iCs w:val="0"/>
          <w:caps w:val="0"/>
          <w:color w:val="4B4B4B"/>
          <w:spacing w:val="0"/>
          <w:sz w:val="44"/>
          <w:szCs w:val="44"/>
          <w:u w:val="none"/>
          <w:bdr w:val="none" w:color="auto" w:sz="0" w:space="0"/>
        </w:rPr>
        <w:br w:type="textWrapping"/>
      </w:r>
      <w:r>
        <w:rPr>
          <w:rFonts w:hint="eastAsia" w:ascii="方正公文小标宋" w:hAnsi="方正公文小标宋" w:eastAsia="方正公文小标宋" w:cs="方正公文小标宋"/>
          <w:b/>
          <w:bCs/>
          <w:i w:val="0"/>
          <w:iCs w:val="0"/>
          <w:caps w:val="0"/>
          <w:color w:val="4B4B4B"/>
          <w:spacing w:val="0"/>
          <w:sz w:val="44"/>
          <w:szCs w:val="44"/>
          <w:u w:val="none"/>
          <w:bdr w:val="none" w:color="auto" w:sz="0" w:space="0"/>
        </w:rPr>
        <w:t>“双万计划”的通知</w:t>
      </w:r>
    </w:p>
    <w:p w14:paraId="0AD3F004">
      <w:pPr>
        <w:bidi w:val="0"/>
        <w:jc w:val="right"/>
        <w:rPr>
          <w:rFonts w:hint="eastAsia"/>
          <w:sz w:val="32"/>
          <w:szCs w:val="32"/>
        </w:rPr>
      </w:pPr>
      <w:r>
        <w:rPr>
          <w:rFonts w:hint="eastAsia"/>
          <w:sz w:val="32"/>
          <w:szCs w:val="32"/>
        </w:rPr>
        <w:t>教高厅函〔2019〕18号</w:t>
      </w:r>
    </w:p>
    <w:p w14:paraId="221EF3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各省、自治区、直辖市教育厅（教委），新疆生产建设兵团教育局，有关部门（单位）教育司（局），部属各高等学校、部省合建各高等学校：</w:t>
      </w:r>
    </w:p>
    <w:p w14:paraId="6C17F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为深入落实全国教育大会和《加快推进教育现代化实施方案（2018—2022年）》精神，贯彻落实新时代全国高校本科教育工作会议和《教育部关于加快建设高水平本科教育 全面提高人才培养能力的意见》、“六卓越一拔尖”计划2.0系列文件要求，推动新工科、新医科、新农科、新文科建设，做强一流本科、建设一流专业、培养一流人才，全面振兴本科教育，提高高校人才培养能力，实现高等教育内涵式发展，经研究，教育部决定全面实施“六卓越一拔尖”计划2.0，启动一流本科专业建设“双万计划”,现将有关事项通知如下。</w:t>
      </w:r>
    </w:p>
    <w:p w14:paraId="74C57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Style w:val="6"/>
          <w:rFonts w:hint="eastAsia" w:ascii="仿宋_GB2312" w:hAnsi="仿宋_GB2312" w:eastAsia="仿宋_GB2312" w:cs="仿宋_GB2312"/>
          <w:i w:val="0"/>
          <w:iCs w:val="0"/>
          <w:caps w:val="0"/>
          <w:color w:val="4B4B4B"/>
          <w:spacing w:val="0"/>
          <w:sz w:val="30"/>
          <w:szCs w:val="30"/>
          <w:u w:val="none"/>
          <w:bdr w:val="none" w:color="auto" w:sz="0" w:space="0"/>
        </w:rPr>
        <w:t xml:space="preserve">　　一、主要任务 </w:t>
      </w:r>
    </w:p>
    <w:p w14:paraId="4531DB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2019—2021年，建设10000个左右国家级一流本科专业点和10000个左右省级一流本科专业点。</w:t>
      </w:r>
    </w:p>
    <w:p w14:paraId="7EF2C6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Style w:val="6"/>
          <w:rFonts w:hint="eastAsia" w:ascii="仿宋_GB2312" w:hAnsi="仿宋_GB2312" w:eastAsia="仿宋_GB2312" w:cs="仿宋_GB2312"/>
          <w:i w:val="0"/>
          <w:iCs w:val="0"/>
          <w:caps w:val="0"/>
          <w:color w:val="4B4B4B"/>
          <w:spacing w:val="0"/>
          <w:sz w:val="30"/>
          <w:szCs w:val="30"/>
          <w:u w:val="none"/>
          <w:bdr w:val="none" w:color="auto" w:sz="0" w:space="0"/>
        </w:rPr>
        <w:t xml:space="preserve">　　二、建设原则 </w:t>
      </w:r>
    </w:p>
    <w:p w14:paraId="540219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面向各类高校。在不同类型的普通本科高校建设一流本科专业，鼓励分类发展、特色发展。</w:t>
      </w:r>
    </w:p>
    <w:p w14:paraId="30F71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面向全部专业。覆盖全部92个本科专业类，分年度开展一流本科专业点建设。</w:t>
      </w:r>
    </w:p>
    <w:p w14:paraId="1C0220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突出示范领跑。建设新工科、新医科、新农科、新文科示范性本科专业，引领带动高校优化专业结构、促进专业建设质量提升，推动形成高水平人才培养体系。</w:t>
      </w:r>
    </w:p>
    <w:p w14:paraId="362275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分“赛道”建设。中央部门所属高校、地方高校名额分列，向地方高校倾斜；鼓励支持高校在服务国家和区域经济社会发展中建设一流本科专业。</w:t>
      </w:r>
    </w:p>
    <w:p w14:paraId="6C5A37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“两步走”实施。报送的专业第一步被确定为国家级一流本科专业建设点；教育部组织开展专业认证，通过后再确定为国家级一流本科专业。</w:t>
      </w:r>
    </w:p>
    <w:p w14:paraId="1F776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Style w:val="6"/>
          <w:rFonts w:hint="eastAsia" w:ascii="仿宋_GB2312" w:hAnsi="仿宋_GB2312" w:eastAsia="仿宋_GB2312" w:cs="仿宋_GB2312"/>
          <w:i w:val="0"/>
          <w:iCs w:val="0"/>
          <w:caps w:val="0"/>
          <w:color w:val="4B4B4B"/>
          <w:spacing w:val="0"/>
          <w:sz w:val="30"/>
          <w:szCs w:val="30"/>
          <w:u w:val="none"/>
          <w:bdr w:val="none" w:color="auto" w:sz="0" w:space="0"/>
        </w:rPr>
        <w:t xml:space="preserve">　　三、建设方式 </w:t>
      </w:r>
    </w:p>
    <w:p w14:paraId="6B0D25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1.国家级一流本科专业建设工作分三年完成。每年3月启动，经高校网上报送、教育主管部门或高校提交汇总材料、高等学校教学指导委员会提出推荐意见等，确定建设点名单，当年10月公布结果。</w:t>
      </w:r>
    </w:p>
    <w:p w14:paraId="7529F0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14:paraId="53B15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3.入选省级一流本科专业建设点的专业，如同时入选国家级一流本科专业建设点，按照国家级一流本科专业建设点公布。空出的省级一流本科专业建设点名额可延至下一年度使用。</w:t>
      </w:r>
    </w:p>
    <w:p w14:paraId="51F2C2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4.根据2019、2020年一流本科专业点建设情况，2021年将对各专业类国家级一流本科专业的建设数量和建设进度进行统筹。</w:t>
      </w:r>
    </w:p>
    <w:p w14:paraId="38E64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Style w:val="6"/>
          <w:rFonts w:hint="eastAsia" w:ascii="仿宋_GB2312" w:hAnsi="仿宋_GB2312" w:eastAsia="仿宋_GB2312" w:cs="仿宋_GB2312"/>
          <w:i w:val="0"/>
          <w:iCs w:val="0"/>
          <w:caps w:val="0"/>
          <w:color w:val="4B4B4B"/>
          <w:spacing w:val="0"/>
          <w:sz w:val="30"/>
          <w:szCs w:val="30"/>
          <w:u w:val="none"/>
          <w:bdr w:val="none" w:color="auto" w:sz="0" w:space="0"/>
        </w:rPr>
        <w:t xml:space="preserve">　　四、报送条件 </w:t>
      </w:r>
    </w:p>
    <w:p w14:paraId="37067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（一）报送高校需具备的条件</w:t>
      </w:r>
    </w:p>
    <w:p w14:paraId="4C8586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1.全面落实“以本为本、四个回归”。坚持立德树人，切实巩固人才培养中心地位和本科教学基础地位，把思想政治教育贯穿人才培养全过程，着力深化教育教学改革，全面提升人才培养质量。</w:t>
      </w:r>
    </w:p>
    <w:p w14:paraId="024074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2.积极推进新工科、新医科、新农科、新文科建设。紧扣国家发展需求，主动适应新一轮科技革命和产业变革，着力深化专业综合改革，优化专业结构，积极发展新兴专业，改造提升传统专业，打造特色优势专业。</w:t>
      </w:r>
    </w:p>
    <w:p w14:paraId="69ACF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14:paraId="4056F7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4.努力培育以人才培养为中心的质量文化。坚持学生中心、产出导向、持续改进的基本理念，建立健全自查自纠的质量保障机制并持续有效实施，将对质量的追求内化为全校师生的共同价值追求和行为自觉。</w:t>
      </w:r>
    </w:p>
    <w:p w14:paraId="20E28E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（二）报送专业需具备的条件</w:t>
      </w:r>
    </w:p>
    <w:p w14:paraId="4AEE7A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1.专业定位明确。服务面向清晰，适应国家和区域经济社会发展需要，符合学校发展定位和办学方向。</w:t>
      </w:r>
    </w:p>
    <w:p w14:paraId="244802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2.专业管理规范。切实落实本科专业国家标准要求，人才培养方案科学合理，教育教学管理规范有序。近三年未出现重大安全责任事故。</w:t>
      </w:r>
    </w:p>
    <w:p w14:paraId="468200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3.改革成效突出。持续深化教育教学改革，教育理念先进，教学内容更新及时，方法手段不断创新，以新理念、新形态、新方法引领带动新工科、新医科、新农科、新文科建设。</w:t>
      </w:r>
    </w:p>
    <w:p w14:paraId="01A9F4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4.师资力量雄厚。不断加强师资队伍和基层教学组织建设，教育教学研究活动广泛开展，专业教学团队结构合理、整体素质水平高。</w:t>
      </w:r>
    </w:p>
    <w:p w14:paraId="3996B3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5.培养质量一流。坚持以学生为中心，促进学生全面发展，有效激发学生学习兴趣和潜能，增强创新精神、实践能力和社会责任感，毕业生行业认可度高、社会整体评价好。</w:t>
      </w:r>
    </w:p>
    <w:p w14:paraId="5B90C2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Style w:val="6"/>
          <w:rFonts w:hint="eastAsia" w:ascii="仿宋_GB2312" w:hAnsi="仿宋_GB2312" w:eastAsia="仿宋_GB2312" w:cs="仿宋_GB2312"/>
          <w:i w:val="0"/>
          <w:iCs w:val="0"/>
          <w:caps w:val="0"/>
          <w:color w:val="4B4B4B"/>
          <w:spacing w:val="0"/>
          <w:sz w:val="30"/>
          <w:szCs w:val="30"/>
          <w:u w:val="none"/>
          <w:bdr w:val="none" w:color="auto" w:sz="0" w:space="0"/>
        </w:rPr>
        <w:t xml:space="preserve">　　五、报送办法 </w:t>
      </w:r>
    </w:p>
    <w:p w14:paraId="26AF0B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14:paraId="245E47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Style w:val="6"/>
          <w:rFonts w:hint="eastAsia" w:ascii="仿宋_GB2312" w:hAnsi="仿宋_GB2312" w:eastAsia="仿宋_GB2312" w:cs="仿宋_GB2312"/>
          <w:i w:val="0"/>
          <w:iCs w:val="0"/>
          <w:caps w:val="0"/>
          <w:color w:val="4B4B4B"/>
          <w:spacing w:val="0"/>
          <w:sz w:val="30"/>
          <w:szCs w:val="30"/>
          <w:u w:val="none"/>
          <w:bdr w:val="none" w:color="auto" w:sz="0" w:space="0"/>
        </w:rPr>
        <w:t xml:space="preserve">　　六、组织保障 </w:t>
      </w:r>
    </w:p>
    <w:p w14:paraId="2231E4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一）构建三级实施体系。教育部等14个“六卓越一拔尖”计划2.0负责部委（单位）统筹一流本科专业建设“双万计划”组织实施工作，指导各地、各高校落实有关文件要求，加强一流本科专业建设，推动构建国家、地方、高校三级实施体系。</w:t>
      </w:r>
    </w:p>
    <w:p w14:paraId="29BE01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二）完善经费保障。中央部门所属高校应当统筹利用中央高校教育教学改革专项等中央高校预算拨款和其他各类资源，各地应当统筹地方财政高等教育资金和中央支持地方高校改革发展资金，支持一流本科专业建设。</w:t>
      </w:r>
    </w:p>
    <w:p w14:paraId="2F5DF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（三）建立动态调整机制。教育部和省级教育行政部门加强对计划实施过程跟踪，针对一流本科专业建设中存在的问题，提出改进意见建议，对于建设质量不达标、出现严重质量问题的专业建设点予以撤销。</w:t>
      </w:r>
    </w:p>
    <w:p w14:paraId="728D84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Style w:val="6"/>
          <w:rFonts w:hint="eastAsia" w:ascii="仿宋_GB2312" w:hAnsi="仿宋_GB2312" w:eastAsia="仿宋_GB2312" w:cs="仿宋_GB2312"/>
          <w:i w:val="0"/>
          <w:iCs w:val="0"/>
          <w:caps w:val="0"/>
          <w:color w:val="4B4B4B"/>
          <w:spacing w:val="0"/>
          <w:sz w:val="30"/>
          <w:szCs w:val="30"/>
          <w:u w:val="none"/>
          <w:bdr w:val="none" w:color="auto" w:sz="0" w:space="0"/>
        </w:rPr>
        <w:t xml:space="preserve">　　七、关于2019年国家级一流本科专业建设点报送工作 </w:t>
      </w:r>
    </w:p>
    <w:p w14:paraId="238C3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1.报送数量。中央部门所属高校、部省合建高校2019年度报送的专业点数不超过本校本科专业布点数25%；各省级教育行政部门2019年度报送专业点数量不超过本地所属地方高校本科专业布点总数的15%。</w:t>
      </w:r>
    </w:p>
    <w:p w14:paraId="412790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2.在线登录账号和密码。高校使用“高等教育质量监测国家数据平台”的登录账号及密码。各省级教育行政部门、中央有关部门（单位）教育司（局）须明确工作联系人，于2019年4月15日前将姓名、单位、座机、手机、电子邮件、传真号码报至教育部高等教育司文科处，获取报送系统登录账号及密码。</w:t>
      </w:r>
    </w:p>
    <w:p w14:paraId="79C5D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3.在线报送时间和网址。在线报送时间为2019年4月20日—6月30日，请登录“国家级一流本科专业建设报送系统”（网址：http://udb.heec.edu.cn），按照系统提示填报。</w:t>
      </w:r>
    </w:p>
    <w:p w14:paraId="7B2467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4.在线审核和提交。各省级教育行政部门、中央有关部门（单位）教育司（局）须在2019年6月30日前，登录报送系统，严格按照限额，完成所属高校报送信息的在线审核和提交工作。</w:t>
      </w:r>
    </w:p>
    <w:p w14:paraId="7A7C5B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5.纸质材料报送。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14:paraId="5413B8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联系人及电话：教育部高等教育司，朱蓓蓓、徐健，010-66097823；教育部高等教育教学评估中心，郭栋、南方，010-82213390、82213395。</w:t>
      </w:r>
    </w:p>
    <w:p w14:paraId="48370F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附件：1.</w:t>
      </w:r>
      <w:r>
        <w:rPr>
          <w:rFonts w:hint="eastAsia" w:ascii="仿宋_GB2312" w:hAnsi="仿宋_GB2312" w:eastAsia="仿宋_GB2312" w:cs="仿宋_GB2312"/>
          <w:i w:val="0"/>
          <w:iCs w:val="0"/>
          <w:caps w:val="0"/>
          <w:color w:val="0000FF"/>
          <w:spacing w:val="0"/>
          <w:sz w:val="30"/>
          <w:szCs w:val="30"/>
          <w:u w:val="none"/>
          <w:bdr w:val="none" w:color="auto" w:sz="0" w:space="0"/>
        </w:rPr>
        <w:fldChar w:fldCharType="begin"/>
      </w:r>
      <w:r>
        <w:rPr>
          <w:rFonts w:hint="eastAsia" w:ascii="仿宋_GB2312" w:hAnsi="仿宋_GB2312" w:eastAsia="仿宋_GB2312" w:cs="仿宋_GB2312"/>
          <w:i w:val="0"/>
          <w:iCs w:val="0"/>
          <w:caps w:val="0"/>
          <w:color w:val="0000FF"/>
          <w:spacing w:val="0"/>
          <w:sz w:val="30"/>
          <w:szCs w:val="30"/>
          <w:u w:val="none"/>
          <w:bdr w:val="none" w:color="auto" w:sz="0" w:space="0"/>
        </w:rPr>
        <w:instrText xml:space="preserve"> HYPERLINK "https://www.htu.edu.cn/_upload/article/files/77/70/a900e56841bea5574c8043e9a507/e32b8e62-f744-4c61-b5e1-f44ec466c5ff.doc" \t "https://www.htu.edu.cn/fzghc/2019/0410/c11959a141879/_blank" </w:instrText>
      </w:r>
      <w:r>
        <w:rPr>
          <w:rFonts w:hint="eastAsia" w:ascii="仿宋_GB2312" w:hAnsi="仿宋_GB2312" w:eastAsia="仿宋_GB2312" w:cs="仿宋_GB2312"/>
          <w:i w:val="0"/>
          <w:iCs w:val="0"/>
          <w:caps w:val="0"/>
          <w:color w:val="0000FF"/>
          <w:spacing w:val="0"/>
          <w:sz w:val="30"/>
          <w:szCs w:val="30"/>
          <w:u w:val="none"/>
          <w:bdr w:val="none" w:color="auto" w:sz="0" w:space="0"/>
        </w:rPr>
        <w:fldChar w:fldCharType="separate"/>
      </w:r>
      <w:r>
        <w:rPr>
          <w:rStyle w:val="7"/>
          <w:rFonts w:hint="eastAsia" w:ascii="仿宋_GB2312" w:hAnsi="仿宋_GB2312" w:eastAsia="仿宋_GB2312" w:cs="仿宋_GB2312"/>
          <w:i w:val="0"/>
          <w:iCs w:val="0"/>
          <w:caps w:val="0"/>
          <w:color w:val="0000FF"/>
          <w:spacing w:val="0"/>
          <w:sz w:val="30"/>
          <w:szCs w:val="30"/>
          <w:u w:val="none"/>
          <w:bdr w:val="none" w:color="auto" w:sz="0" w:space="0"/>
        </w:rPr>
        <w:t>国家级一流本科专业分专业类建设规划</w:t>
      </w:r>
      <w:r>
        <w:rPr>
          <w:rFonts w:hint="eastAsia" w:ascii="仿宋_GB2312" w:hAnsi="仿宋_GB2312" w:eastAsia="仿宋_GB2312" w:cs="仿宋_GB2312"/>
          <w:i w:val="0"/>
          <w:iCs w:val="0"/>
          <w:caps w:val="0"/>
          <w:color w:val="0000FF"/>
          <w:spacing w:val="0"/>
          <w:sz w:val="30"/>
          <w:szCs w:val="30"/>
          <w:u w:val="none"/>
          <w:bdr w:val="none" w:color="auto" w:sz="0" w:space="0"/>
        </w:rPr>
        <w:fldChar w:fldCharType="end"/>
      </w:r>
    </w:p>
    <w:p w14:paraId="50331C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lef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　　　　　2.</w:t>
      </w:r>
      <w:r>
        <w:rPr>
          <w:rFonts w:hint="eastAsia" w:ascii="仿宋_GB2312" w:hAnsi="仿宋_GB2312" w:eastAsia="仿宋_GB2312" w:cs="仿宋_GB2312"/>
          <w:i w:val="0"/>
          <w:iCs w:val="0"/>
          <w:caps w:val="0"/>
          <w:color w:val="0000FF"/>
          <w:spacing w:val="0"/>
          <w:sz w:val="30"/>
          <w:szCs w:val="30"/>
          <w:u w:val="none"/>
          <w:bdr w:val="none" w:color="auto" w:sz="0" w:space="0"/>
        </w:rPr>
        <w:fldChar w:fldCharType="begin"/>
      </w:r>
      <w:r>
        <w:rPr>
          <w:rFonts w:hint="eastAsia" w:ascii="仿宋_GB2312" w:hAnsi="仿宋_GB2312" w:eastAsia="仿宋_GB2312" w:cs="仿宋_GB2312"/>
          <w:i w:val="0"/>
          <w:iCs w:val="0"/>
          <w:caps w:val="0"/>
          <w:color w:val="0000FF"/>
          <w:spacing w:val="0"/>
          <w:sz w:val="30"/>
          <w:szCs w:val="30"/>
          <w:u w:val="none"/>
          <w:bdr w:val="none" w:color="auto" w:sz="0" w:space="0"/>
        </w:rPr>
        <w:instrText xml:space="preserve"> HYPERLINK "https://www.htu.edu.cn/_upload/article/files/77/70/a900e56841bea5574c8043e9a507/84e6bfa5-276a-48dd-8b09-8b3f02f04cb5.doc" \t "https://www.htu.edu.cn/fzghc/2019/0410/c11959a141879/_blank" </w:instrText>
      </w:r>
      <w:r>
        <w:rPr>
          <w:rFonts w:hint="eastAsia" w:ascii="仿宋_GB2312" w:hAnsi="仿宋_GB2312" w:eastAsia="仿宋_GB2312" w:cs="仿宋_GB2312"/>
          <w:i w:val="0"/>
          <w:iCs w:val="0"/>
          <w:caps w:val="0"/>
          <w:color w:val="0000FF"/>
          <w:spacing w:val="0"/>
          <w:sz w:val="30"/>
          <w:szCs w:val="30"/>
          <w:u w:val="none"/>
          <w:bdr w:val="none" w:color="auto" w:sz="0" w:space="0"/>
        </w:rPr>
        <w:fldChar w:fldCharType="separate"/>
      </w:r>
      <w:r>
        <w:rPr>
          <w:rStyle w:val="7"/>
          <w:rFonts w:hint="eastAsia" w:ascii="仿宋_GB2312" w:hAnsi="仿宋_GB2312" w:eastAsia="仿宋_GB2312" w:cs="仿宋_GB2312"/>
          <w:i w:val="0"/>
          <w:iCs w:val="0"/>
          <w:caps w:val="0"/>
          <w:color w:val="0000FF"/>
          <w:spacing w:val="0"/>
          <w:sz w:val="30"/>
          <w:szCs w:val="30"/>
          <w:u w:val="none"/>
          <w:bdr w:val="none" w:color="auto" w:sz="0" w:space="0"/>
        </w:rPr>
        <w:t>国家级一流本科专业建设点信息采集表</w:t>
      </w:r>
      <w:r>
        <w:rPr>
          <w:rFonts w:hint="eastAsia" w:ascii="仿宋_GB2312" w:hAnsi="仿宋_GB2312" w:eastAsia="仿宋_GB2312" w:cs="仿宋_GB2312"/>
          <w:i w:val="0"/>
          <w:iCs w:val="0"/>
          <w:caps w:val="0"/>
          <w:color w:val="0000FF"/>
          <w:spacing w:val="0"/>
          <w:sz w:val="30"/>
          <w:szCs w:val="30"/>
          <w:u w:val="none"/>
          <w:bdr w:val="none" w:color="auto" w:sz="0" w:space="0"/>
        </w:rPr>
        <w:fldChar w:fldCharType="end"/>
      </w:r>
    </w:p>
    <w:p w14:paraId="4F3722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righ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教育部办公厅</w:t>
      </w:r>
      <w:bookmarkStart w:id="0" w:name="_GoBack"/>
      <w:bookmarkEnd w:id="0"/>
    </w:p>
    <w:p w14:paraId="38CF0D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0"/>
        <w:jc w:val="right"/>
        <w:textAlignment w:val="auto"/>
        <w:rPr>
          <w:rFonts w:hint="eastAsia" w:ascii="仿宋_GB2312" w:hAnsi="仿宋_GB2312" w:eastAsia="仿宋_GB2312" w:cs="仿宋_GB2312"/>
          <w:i w:val="0"/>
          <w:iCs w:val="0"/>
          <w:caps w:val="0"/>
          <w:color w:val="4B4B4B"/>
          <w:spacing w:val="0"/>
          <w:sz w:val="30"/>
          <w:szCs w:val="30"/>
          <w:u w:val="none"/>
        </w:rPr>
      </w:pPr>
      <w:r>
        <w:rPr>
          <w:rFonts w:hint="eastAsia" w:ascii="仿宋_GB2312" w:hAnsi="仿宋_GB2312" w:eastAsia="仿宋_GB2312" w:cs="仿宋_GB2312"/>
          <w:i w:val="0"/>
          <w:iCs w:val="0"/>
          <w:caps w:val="0"/>
          <w:color w:val="4B4B4B"/>
          <w:spacing w:val="0"/>
          <w:sz w:val="30"/>
          <w:szCs w:val="30"/>
          <w:u w:val="none"/>
          <w:bdr w:val="none" w:color="auto" w:sz="0" w:space="0"/>
        </w:rPr>
        <w:t>2019年4月2日</w:t>
      </w:r>
    </w:p>
    <w:p w14:paraId="006178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1" w:fontKey="{E116D45E-3259-44A4-AB97-45AE4B887A60}"/>
  </w:font>
  <w:font w:name="仿宋_GB2312">
    <w:panose1 w:val="02010609030101010101"/>
    <w:charset w:val="86"/>
    <w:family w:val="auto"/>
    <w:pitch w:val="default"/>
    <w:sig w:usb0="00000001" w:usb1="080E0000" w:usb2="00000000" w:usb3="00000000" w:csb0="00040000" w:csb1="00000000"/>
    <w:embedRegular r:id="rId2" w:fontKey="{226C19CC-E2A2-41DA-B64C-16653398A9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F42B9"/>
    <w:rsid w:val="440F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2025-04-11T01:15:00Z</dcterms:created>
  <dc:creator>宋广元</dc:creator>
  <cp:lastModifiedBy>宋广元</cp:lastModifiedBy>
  <dcterms:modified xsi:type="dcterms:W3CDTF">2025-04-11T01:17:42Z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21B5967EECB045FC9B1F1E610831BDC5_11</vt:lpwstr>
  </property>
  <property fmtid="{D5CDD505-2E9C-101B-9397-08002B2CF9AE}" pid="4" name="KSOTemplateDocerSaveRecord">
    <vt:lpwstr>eyJoZGlkIjoiMWY2MDU1MWY1NTk3ODViYzk1OWRjMmNlMTJmYjA1MzgiLCJ1c2VySWQiOiIzMjA4Njg3NzkifQ==</vt:lpwstr>
  </property>
</Properties>
</file>